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6"/>
        <w:gridCol w:w="1408"/>
        <w:gridCol w:w="3733"/>
        <w:gridCol w:w="4862"/>
        <w:gridCol w:w="287"/>
      </w:tblGrid>
      <w:tr w:rsidR="00431E7D" w:rsidTr="007A2294">
        <w:trPr>
          <w:gridAfter w:val="1"/>
          <w:wAfter w:w="287" w:type="dxa"/>
          <w:trHeight w:val="450"/>
        </w:trPr>
        <w:tc>
          <w:tcPr>
            <w:tcW w:w="103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431E7D" w:rsidRDefault="002F7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431E7D" w:rsidTr="007A2294">
        <w:trPr>
          <w:trHeight w:val="450"/>
        </w:trPr>
        <w:tc>
          <w:tcPr>
            <w:tcW w:w="103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E7D" w:rsidRDefault="00431E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31E7D" w:rsidTr="007A2294">
        <w:trPr>
          <w:trHeight w:val="6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75"/>
        </w:trPr>
        <w:tc>
          <w:tcPr>
            <w:tcW w:w="1031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75"/>
        </w:trPr>
        <w:tc>
          <w:tcPr>
            <w:tcW w:w="1031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31E7D" w:rsidTr="007A2294">
        <w:trPr>
          <w:trHeight w:val="9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4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486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4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5141" w:type="dxa"/>
            <w:gridSpan w:val="2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2F782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2F782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="002F7829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40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F15655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Bartošovič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15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156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59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156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Prof. 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66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F15655" w:rsidRDefault="002F782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F15655" w:rsidRPr="00F15655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https://projekty.portalvs.sk/?sid=RPiEznOua0MYNspqpC5ulrW0NO2rOSRlXzASROGg</w:t>
              </w:r>
            </w:hyperlink>
          </w:p>
          <w:p w:rsidR="00F15655" w:rsidRDefault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30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F156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1" w:name="_GoBack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II.stupeň/ Nursing II.degree</w:t>
            </w:r>
            <w:bookmarkEnd w:id="1"/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972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7D5EE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</w:t>
            </w:r>
            <w:r w:rsidR="002F7829">
              <w:rPr>
                <w:sz w:val="16"/>
                <w:szCs w:val="16"/>
              </w:rPr>
              <w:t xml:space="preserve">výstup / </w:t>
            </w:r>
            <w:r>
              <w:rPr>
                <w:sz w:val="16"/>
                <w:szCs w:val="16"/>
              </w:rPr>
              <w:t xml:space="preserve">scientifical </w:t>
            </w:r>
            <w:r w:rsidR="002F7829">
              <w:rPr>
                <w:rFonts w:cstheme="minorHAnsi"/>
                <w:bCs/>
                <w:sz w:val="16"/>
              </w:rPr>
              <w:t>output</w:t>
            </w:r>
          </w:p>
          <w:p w:rsidR="00431E7D" w:rsidRPr="007D5EEC" w:rsidRDefault="00431E7D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431E7D" w:rsidRPr="007D5EEC" w:rsidRDefault="007D5EEC" w:rsidP="007D5EEC">
            <w:pPr>
              <w:pStyle w:val="normal"/>
              <w:rPr>
                <w:rFonts w:asciiTheme="minorHAnsi" w:eastAsia="Times New Roman" w:hAnsiTheme="minorHAnsi" w:cstheme="minorHAnsi"/>
                <w:iCs/>
                <w:color w:val="000000"/>
                <w:sz w:val="16"/>
                <w:szCs w:val="16"/>
              </w:rPr>
            </w:pPr>
            <w:r w:rsidRPr="007D5EEC">
              <w:rPr>
                <w:rStyle w:val="Siln"/>
                <w:rFonts w:asciiTheme="minorHAnsi" w:hAnsiTheme="minorHAnsi" w:cstheme="minorHAnsi"/>
                <w:b w:val="0"/>
                <w:sz w:val="16"/>
                <w:szCs w:val="16"/>
              </w:rPr>
              <w:t xml:space="preserve">Farmakoterapie a polyfarmacie u senioru v institucionální péči </w:t>
            </w:r>
            <w:r w:rsidRPr="007D5EEC">
              <w:rPr>
                <w:rFonts w:asciiTheme="minorHAnsi" w:hAnsiTheme="minorHAnsi" w:cstheme="minorHAnsi"/>
                <w:sz w:val="16"/>
                <w:szCs w:val="16"/>
              </w:rPr>
              <w:t xml:space="preserve">/ Bartošovič, Ivan [Autor, 50%] ; Krajčík, Štefan [Autor, 50%] ; Zrubáková, Katarína [Zostavovateľ, editor, 100%]. </w:t>
            </w:r>
            <w:r w:rsidRPr="007D5EE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In:</w:t>
            </w:r>
            <w:r w:rsidRPr="007D5EE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D5EEC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Farmakoterapie v geriatrii</w:t>
            </w:r>
            <w:r w:rsidRPr="007D5EEC">
              <w:rPr>
                <w:rFonts w:asciiTheme="minorHAnsi" w:hAnsiTheme="minorHAnsi" w:cstheme="minorHAnsi"/>
                <w:sz w:val="16"/>
                <w:szCs w:val="16"/>
              </w:rPr>
              <w:t xml:space="preserve"> / Zrubáková, Katarína [Zostavovateľ, editor]. – 1. vyd. – Praha (Česko) : Grada Publishing, 2016. – ISBN 978-80-247-5229-7, s. 45-64 [1,01 AH]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5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7D5EEC" w:rsidP="00655B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2016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66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F782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9BD" w:rsidRPr="007D5EEC" w:rsidRDefault="007D5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D5EEC">
              <w:rPr>
                <w:sz w:val="16"/>
                <w:szCs w:val="16"/>
              </w:rPr>
              <w:t>321869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494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9BD" w:rsidRDefault="00477659" w:rsidP="007D5EEC">
            <w:pPr>
              <w:ind w:left="72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tgtFrame="_blank" w:history="1">
              <w:r w:rsidR="007D5EEC" w:rsidRPr="007D5EEC">
                <w:rPr>
                  <w:rStyle w:val="Hypertextovprepojenie"/>
                  <w:sz w:val="16"/>
                  <w:szCs w:val="16"/>
                </w:rPr>
                <w:t>https://app.crepc.sk/?fn=detailBiblioForm&amp;sid=9AFC7D82497B8CE68556303E3C</w:t>
              </w:r>
            </w:hyperlink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065"/>
        </w:trPr>
        <w:tc>
          <w:tcPr>
            <w:tcW w:w="3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431E7D" w:rsidRDefault="002F7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431E7D" w:rsidP="002F72C1">
            <w:pPr>
              <w:spacing w:after="0" w:line="240" w:lineRule="auto"/>
              <w:ind w:left="160" w:hangingChars="100" w:hanging="160"/>
              <w:rPr>
                <w:rFonts w:eastAsia="ArialUnicodeMS" w:cstheme="minorHAnsi"/>
                <w:color w:val="404040"/>
                <w:sz w:val="16"/>
                <w:szCs w:val="16"/>
                <w:lang w:eastAsia="sk-SK"/>
              </w:rPr>
            </w:pPr>
          </w:p>
          <w:p w:rsidR="002649BD" w:rsidRPr="002649BD" w:rsidRDefault="002649BD" w:rsidP="002649BD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51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  <w:r w:rsidR="005768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7D5EEC" w:rsidRDefault="007D5EEC" w:rsidP="005768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D5EEC">
              <w:rPr>
                <w:sz w:val="16"/>
                <w:szCs w:val="16"/>
              </w:rPr>
              <w:t xml:space="preserve">D: 321869 </w:t>
            </w:r>
            <w:r w:rsidRPr="00C30E6B">
              <w:rPr>
                <w:b/>
                <w:sz w:val="16"/>
                <w:szCs w:val="16"/>
              </w:rPr>
              <w:t>| </w:t>
            </w:r>
            <w:r w:rsidRPr="00C30E6B">
              <w:rPr>
                <w:rStyle w:val="Siln"/>
                <w:b w:val="0"/>
                <w:sz w:val="16"/>
                <w:szCs w:val="16"/>
              </w:rPr>
              <w:t xml:space="preserve">Farmakoterapie a polyfarmacie u senioru v institucionální péči </w:t>
            </w:r>
            <w:r w:rsidRPr="00C30E6B">
              <w:rPr>
                <w:b/>
                <w:sz w:val="16"/>
                <w:szCs w:val="16"/>
              </w:rPr>
              <w:t xml:space="preserve">/ </w:t>
            </w:r>
            <w:r w:rsidRPr="00C30E6B">
              <w:rPr>
                <w:sz w:val="16"/>
                <w:szCs w:val="16"/>
              </w:rPr>
              <w:t>Bar</w:t>
            </w:r>
            <w:r w:rsidRPr="007D5EEC">
              <w:rPr>
                <w:sz w:val="16"/>
                <w:szCs w:val="16"/>
              </w:rPr>
              <w:t xml:space="preserve">tošovič, Ivan [Autor, 50%] ; Krajčík, Štefan [Autor, 50%] ; Zrubáková, Katarína [Zostavovateľ, editor, 100%]. – [recenzované] </w:t>
            </w:r>
            <w:r w:rsidRPr="007D5EEC">
              <w:rPr>
                <w:sz w:val="16"/>
                <w:szCs w:val="16"/>
              </w:rPr>
              <w:br/>
            </w:r>
            <w:r w:rsidRPr="007D5EEC">
              <w:rPr>
                <w:b/>
                <w:bCs/>
                <w:sz w:val="16"/>
                <w:szCs w:val="16"/>
              </w:rPr>
              <w:t>In:</w:t>
            </w:r>
            <w:r w:rsidRPr="007D5EEC">
              <w:rPr>
                <w:sz w:val="16"/>
                <w:szCs w:val="16"/>
              </w:rPr>
              <w:t xml:space="preserve"> </w:t>
            </w:r>
            <w:r w:rsidRPr="007D5EEC">
              <w:rPr>
                <w:i/>
                <w:iCs/>
                <w:sz w:val="16"/>
                <w:szCs w:val="16"/>
              </w:rPr>
              <w:t>Farmakoterapie v geriatrii</w:t>
            </w:r>
            <w:r w:rsidRPr="007D5EEC">
              <w:rPr>
                <w:sz w:val="16"/>
                <w:szCs w:val="16"/>
              </w:rPr>
              <w:t xml:space="preserve"> / Zrubáková, Katarína [Zostavovateľ, editor]. – 1. vyd. – Praha (Česko) : Grada Publishing, 2016. – ISBN 978-80-247-5229-7, s. 45-64 [1,01 AH]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29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C30E6B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Kapitola / Chapter </w:t>
            </w:r>
            <w:r w:rsidR="002F72C1">
              <w:rPr>
                <w:sz w:val="16"/>
                <w:szCs w:val="16"/>
              </w:rPr>
              <w:t xml:space="preserve"> </w:t>
            </w:r>
          </w:p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11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7F9" w:rsidRPr="00B957F9" w:rsidRDefault="00B957F9" w:rsidP="00B957F9">
            <w:pPr>
              <w:rPr>
                <w:sz w:val="16"/>
                <w:szCs w:val="16"/>
              </w:rPr>
            </w:pPr>
            <w:hyperlink r:id="rId21" w:tgtFrame="_blank" w:history="1">
              <w:r w:rsidRPr="00B957F9">
                <w:rPr>
                  <w:rStyle w:val="Hypertextovprepojenie"/>
                  <w:sz w:val="16"/>
                  <w:szCs w:val="16"/>
                </w:rPr>
                <w:t>https://app.crepc.sk/?fn=detailDatabaseForm&amp;sid=C6E5AB329FBEE0A435</w:t>
              </w:r>
            </w:hyperlink>
          </w:p>
          <w:p w:rsidR="00292AA5" w:rsidRPr="002F72C1" w:rsidRDefault="00292AA5" w:rsidP="002F72C1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76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</w:t>
            </w:r>
            <w:r w:rsidR="00E743D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: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F207C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50</w:t>
            </w:r>
            <w:r w:rsidR="00292AA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%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292AA5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– </w:t>
            </w:r>
            <w:r w:rsidR="00F207C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50</w:t>
            </w:r>
            <w:r w:rsidR="00292AA5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2310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E7D" w:rsidRDefault="00431E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B957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Podiel autora je v spracovaní </w:t>
            </w:r>
            <w:r w:rsidR="00E743D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problematiky </w:t>
            </w:r>
            <w:r w:rsidR="00B957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farmakoterapie v geriatrii v inštitucionálnej starostlivosti. Zaoberá sa  charakteristikami farmakoterapie, prácami o farmakoterapii, spoluprácou pri liečbe, polyfarmáciou u seniorov v inštitúciách. Prezentuje možnosti aplikácie metód v práce sestry.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D21FEF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author's contribution</w:t>
            </w:r>
            <w:r w:rsidR="00E743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is </w:t>
            </w:r>
            <w:r w:rsidR="00E743D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in 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processesing the problems of pharmacotherapy in seniors. The work dealt with characteristics of pharmacotherapy, works about pharmacotherapy and compliance, adherence with therapy, polypharmacy in seniors in institutions.</w:t>
            </w:r>
            <w:r w:rsidR="004044A3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It presents possibilities of applications of methods in </w:t>
            </w:r>
            <w:r w:rsidR="0063274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the work of a 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nurse</w:t>
            </w:r>
            <w:r w:rsidR="0063274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915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431E7D" w:rsidRDefault="004776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F782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F782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2F7829" w:rsidP="00B957F9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output de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al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</w:t>
            </w:r>
            <w:r w:rsidR="003555B5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with problems of </w:t>
            </w:r>
            <w:r w:rsidR="00B957F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pharmacotherapy in seniors in institutional care. The chapter describes pharmacotherapy, compliance and adherence, polypharmacy in institutional care. It emphasizes th role of a nurse in pharmacotherapy. </w:t>
            </w:r>
            <w:r w:rsidR="0063274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81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Pr="00632746" w:rsidRDefault="00431E7D" w:rsidP="00632746">
            <w:pPr>
              <w:keepLines/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after="20" w:line="240" w:lineRule="auto"/>
              <w:ind w:left="108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17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0B1485" w:rsidP="000B148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Výstup sa </w:t>
            </w:r>
            <w:r w:rsidR="00B957F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zaoberá farmakologickou liečbou seniorov v inštitúciách.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Zaoberá sa  charakteristikami farmakoterapie, prácami o farmakoterapii, spoluprácou pri liečbe, polyfarmáciou u seniorov v inštitúciách. Prezentuje možnosti spolupráce sestry s lekárom pri famakoterapii a jej úlohu v problematike podávania liekov u seniorov. 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The output dealt with pharmacotherapy in seniors in institutions.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The chapter dealt with characteristics of pharmacotherapy, works about pharmacotherapy and compliance, adherence with therapy, polypharmacy in seniors in institutions. It presents possibilities of cooperation a nurse with physician in pharmacotherapy, th role of nurse in  pharmacotherapy in seniors. 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31E7D" w:rsidTr="007A2294">
        <w:trPr>
          <w:trHeight w:val="1290"/>
        </w:trPr>
        <w:tc>
          <w:tcPr>
            <w:tcW w:w="54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431E7D" w:rsidRDefault="002F78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E7D" w:rsidRDefault="00576831" w:rsidP="00312C2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 sa zameriava na skvalitnenie poskytovania ošetrovateľskej starostlivosti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Pomáha 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sestre hlbšie pochopiť súvislosti s </w:t>
            </w:r>
            <w:r w:rsidR="008B4F3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farmakologickou liečbou a jej  využitím v starostlivosti o seniora.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Obsah  výstupu môže byť aplikovaný v predmetoch, ošetrovateľs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tvo v geriatrii, zdravotná starostlivosť o riziková skupiny, ošetrovat</w:t>
            </w:r>
            <w:r w:rsidR="008B4F30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e</w:t>
            </w: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ľstvo v chirurgii, klinická propedeutika, </w:t>
            </w:r>
            <w:r w:rsidR="002F7829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ošetrovateľský mananžment, komunitné ošetrovateľstvo, domáca ošetrovateľská starostlvosť, v ošetrovateľskej starostlivosti v klinických odboroch.  / </w:t>
            </w:r>
            <w:r w:rsidR="002F782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The output focuses on improving the provision of nursing care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, It helps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allow the nurse to gain a deeper understanding of the 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pharma</w:t>
            </w:r>
            <w:r w:rsidR="00312C28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co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logical tr</w:t>
            </w:r>
            <w:r w:rsidR="00312C28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e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atment and i</w:t>
            </w:r>
            <w:r w:rsidR="00312C28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t</w:t>
            </w:r>
            <w:r w:rsidR="008B4F30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s apply in the care for seniors.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The content of the output can be applied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in subject - gerontological and geriatric nursing, health care for risk groups, surgical  nursing,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clinical propedeutics, </w:t>
            </w:r>
            <w:r w:rsidR="002F782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nursing management, community nursing, home nursing care, nursing care in clinical disciplines.</w:t>
            </w:r>
          </w:p>
        </w:tc>
        <w:tc>
          <w:tcPr>
            <w:tcW w:w="287" w:type="dxa"/>
            <w:vAlign w:val="center"/>
          </w:tcPr>
          <w:p w:rsidR="00431E7D" w:rsidRDefault="0043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431E7D" w:rsidRDefault="00431E7D"/>
    <w:sectPr w:rsidR="00431E7D" w:rsidSect="00431E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889" w:rsidRDefault="00667889">
      <w:pPr>
        <w:spacing w:line="240" w:lineRule="auto"/>
      </w:pPr>
      <w:r>
        <w:separator/>
      </w:r>
    </w:p>
  </w:endnote>
  <w:endnote w:type="continuationSeparator" w:id="1">
    <w:p w:rsidR="00667889" w:rsidRDefault="006678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889" w:rsidRDefault="00667889">
      <w:pPr>
        <w:spacing w:after="0"/>
      </w:pPr>
      <w:r>
        <w:separator/>
      </w:r>
    </w:p>
  </w:footnote>
  <w:footnote w:type="continuationSeparator" w:id="1">
    <w:p w:rsidR="00667889" w:rsidRDefault="0066788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DF9698E"/>
    <w:multiLevelType w:val="hybridMultilevel"/>
    <w:tmpl w:val="8F2E582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0B1485"/>
    <w:rsid w:val="00150A72"/>
    <w:rsid w:val="00190A9C"/>
    <w:rsid w:val="001974F6"/>
    <w:rsid w:val="00211BB7"/>
    <w:rsid w:val="002649BD"/>
    <w:rsid w:val="00292AA5"/>
    <w:rsid w:val="002F72C1"/>
    <w:rsid w:val="002F7829"/>
    <w:rsid w:val="00312C28"/>
    <w:rsid w:val="003555B5"/>
    <w:rsid w:val="003742C1"/>
    <w:rsid w:val="004044A3"/>
    <w:rsid w:val="00431E7D"/>
    <w:rsid w:val="00477659"/>
    <w:rsid w:val="004C0ADE"/>
    <w:rsid w:val="00576831"/>
    <w:rsid w:val="00632746"/>
    <w:rsid w:val="00655B70"/>
    <w:rsid w:val="00667889"/>
    <w:rsid w:val="0073261A"/>
    <w:rsid w:val="007A2294"/>
    <w:rsid w:val="007D5EEC"/>
    <w:rsid w:val="007E5348"/>
    <w:rsid w:val="008B4F30"/>
    <w:rsid w:val="008F72F8"/>
    <w:rsid w:val="00AF0A92"/>
    <w:rsid w:val="00B957F9"/>
    <w:rsid w:val="00C30E6B"/>
    <w:rsid w:val="00D21FEF"/>
    <w:rsid w:val="00DF1280"/>
    <w:rsid w:val="00E743D9"/>
    <w:rsid w:val="00EF7609"/>
    <w:rsid w:val="00F15655"/>
    <w:rsid w:val="00F207C9"/>
    <w:rsid w:val="00F53FAE"/>
    <w:rsid w:val="00F67332"/>
    <w:rsid w:val="00FE4090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1E7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431E7D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431E7D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431E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431E7D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431E7D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431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431E7D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431E7D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31E7D"/>
    <w:rPr>
      <w:sz w:val="24"/>
      <w:szCs w:val="24"/>
      <w:lang w:val="en-US"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15655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3742C1"/>
    <w:pPr>
      <w:spacing w:after="200" w:line="276" w:lineRule="auto"/>
      <w:ind w:left="720"/>
      <w:contextualSpacing/>
    </w:pPr>
    <w:rPr>
      <w:rFonts w:ascii="Calibri" w:eastAsia="Times New Roman" w:hAnsi="Calibri" w:cs="Calibri"/>
      <w:lang w:eastAsia="sk-SK"/>
    </w:rPr>
  </w:style>
  <w:style w:type="character" w:styleId="Siln">
    <w:name w:val="Strong"/>
    <w:basedOn w:val="Predvolenpsmoodseku"/>
    <w:uiPriority w:val="22"/>
    <w:qFormat/>
    <w:rsid w:val="002F72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projekty.portalvs.sk/?sid=RPiEznOua0MYNspqpC5ulrW0NO2rOSRlXzASROGg" TargetMode="External"/><Relationship Id="rId18" Type="http://schemas.openxmlformats.org/officeDocument/2006/relationships/hyperlink" Target="https://app.crepc.sk/?fn=detailBiblioForm&amp;sid=9AFC7D82497B8CE68556303E3C" TargetMode="External"/><Relationship Id="rId3" Type="http://schemas.openxmlformats.org/officeDocument/2006/relationships/styles" Target="styles.xml"/><Relationship Id="rId21" Type="http://schemas.openxmlformats.org/officeDocument/2006/relationships/hyperlink" Target="https://app.crepc.sk/?fn=detailDatabaseForm&amp;sid=C6E5AB329FBEE0A435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IB</cp:lastModifiedBy>
  <cp:revision>15</cp:revision>
  <dcterms:created xsi:type="dcterms:W3CDTF">2022-03-10T08:22:00Z</dcterms:created>
  <dcterms:modified xsi:type="dcterms:W3CDTF">2022-05-29T12:31:00Z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